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3939" w14:textId="02F4066B" w:rsidR="00CF55E8" w:rsidRDefault="007117A9" w:rsidP="00830008">
      <w:pPr>
        <w:jc w:val="center"/>
        <w:rPr>
          <w:rFonts w:cstheme="minorHAnsi"/>
          <w:b/>
          <w:bCs/>
        </w:rPr>
      </w:pPr>
      <w:r w:rsidRPr="007117A9">
        <w:rPr>
          <w:rFonts w:cstheme="minorHAnsi"/>
          <w:b/>
          <w:bCs/>
        </w:rPr>
        <w:t>[</w:t>
      </w:r>
      <w:r w:rsidR="00440712" w:rsidRPr="00440712">
        <w:rPr>
          <w:rFonts w:cstheme="minorHAnsi"/>
          <w:b/>
          <w:bCs/>
          <w:highlight w:val="yellow"/>
        </w:rPr>
        <w:t>Nom de l’AOM</w:t>
      </w:r>
      <w:r w:rsidRPr="007117A9">
        <w:rPr>
          <w:rFonts w:cstheme="minorHAnsi"/>
          <w:b/>
          <w:bCs/>
        </w:rPr>
        <w:t>]</w:t>
      </w:r>
    </w:p>
    <w:p w14:paraId="55A406E6" w14:textId="253FE560" w:rsidR="00830008" w:rsidRPr="007117A9" w:rsidRDefault="00830008" w:rsidP="0083000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Extrait du registre des délibérations</w:t>
      </w:r>
    </w:p>
    <w:p w14:paraId="439CDC2E" w14:textId="6BBFDA4E" w:rsidR="007117A9" w:rsidRDefault="007117A9" w:rsidP="007117A9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DELIBERATION N</w:t>
      </w:r>
      <w:proofErr w:type="gramStart"/>
      <w:r>
        <w:rPr>
          <w:rFonts w:cstheme="minorHAnsi"/>
          <w:b/>
          <w:bCs/>
        </w:rPr>
        <w:t>°[</w:t>
      </w:r>
      <w:proofErr w:type="gramEnd"/>
      <w:r w:rsidRPr="007117A9">
        <w:rPr>
          <w:rFonts w:cstheme="minorHAnsi"/>
          <w:b/>
          <w:bCs/>
          <w:highlight w:val="yellow"/>
        </w:rPr>
        <w:sym w:font="Wingdings" w:char="F06C"/>
      </w:r>
      <w:r>
        <w:rPr>
          <w:rFonts w:cstheme="minorHAnsi"/>
          <w:b/>
          <w:bCs/>
        </w:rPr>
        <w:t>]</w:t>
      </w:r>
    </w:p>
    <w:p w14:paraId="575AE531" w14:textId="4F990F88" w:rsidR="007117A9" w:rsidRDefault="007117A9" w:rsidP="007117A9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CONSEIL </w:t>
      </w:r>
      <w:r w:rsidR="00CC5017">
        <w:rPr>
          <w:rFonts w:cstheme="minorHAnsi"/>
          <w:b/>
          <w:bCs/>
        </w:rPr>
        <w:t>COMMUNAUTAIRE</w:t>
      </w:r>
      <w:r>
        <w:rPr>
          <w:rFonts w:cstheme="minorHAnsi"/>
          <w:b/>
          <w:bCs/>
        </w:rPr>
        <w:t xml:space="preserve"> </w:t>
      </w:r>
    </w:p>
    <w:p w14:paraId="2FF61185" w14:textId="3FE3F0A9" w:rsidR="007117A9" w:rsidRDefault="007117A9" w:rsidP="007117A9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Séance du [</w:t>
      </w:r>
      <w:r w:rsidRPr="007117A9">
        <w:rPr>
          <w:rFonts w:cstheme="minorHAnsi"/>
          <w:b/>
          <w:bCs/>
          <w:highlight w:val="yellow"/>
        </w:rPr>
        <w:sym w:font="Wingdings" w:char="F06C"/>
      </w:r>
      <w:r>
        <w:rPr>
          <w:rFonts w:cstheme="minorHAnsi"/>
          <w:b/>
          <w:bCs/>
        </w:rPr>
        <w:t>]</w:t>
      </w:r>
    </w:p>
    <w:p w14:paraId="7D9D3E9B" w14:textId="77777777" w:rsidR="007117A9" w:rsidRDefault="007117A9" w:rsidP="007117A9">
      <w:pPr>
        <w:jc w:val="right"/>
        <w:rPr>
          <w:rFonts w:cstheme="minorHAnsi"/>
          <w:b/>
          <w:bCs/>
        </w:rPr>
      </w:pPr>
    </w:p>
    <w:p w14:paraId="65ACB0B3" w14:textId="77777777" w:rsidR="007117A9" w:rsidRPr="00317A8A" w:rsidRDefault="007117A9" w:rsidP="007117A9">
      <w:pPr>
        <w:rPr>
          <w:rFonts w:cstheme="minorHAnsi"/>
          <w:b/>
          <w:bCs/>
          <w:highlight w:val="yellow"/>
        </w:rPr>
      </w:pPr>
    </w:p>
    <w:p w14:paraId="20161B6F" w14:textId="198286EC" w:rsidR="00401532" w:rsidRPr="00317A8A" w:rsidRDefault="00401532" w:rsidP="0024323E">
      <w:pPr>
        <w:jc w:val="both"/>
        <w:rPr>
          <w:rFonts w:cstheme="minorHAnsi"/>
          <w:b/>
          <w:bCs/>
          <w:u w:val="single"/>
        </w:rPr>
      </w:pPr>
      <w:r w:rsidRPr="00317A8A">
        <w:rPr>
          <w:rFonts w:cstheme="minorHAnsi"/>
          <w:b/>
          <w:bCs/>
          <w:u w:val="single"/>
        </w:rPr>
        <w:t>Etaient présents :</w:t>
      </w:r>
    </w:p>
    <w:p w14:paraId="14D07CE6" w14:textId="77777777" w:rsidR="007117A9" w:rsidRDefault="007117A9" w:rsidP="002432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 w:rsidRPr="007117A9">
        <w:rPr>
          <w:rFonts w:cstheme="minorHAnsi"/>
          <w:b/>
          <w:bCs/>
          <w:highlight w:val="yellow"/>
        </w:rPr>
        <w:sym w:font="Wingdings" w:char="F06C"/>
      </w:r>
      <w:r>
        <w:rPr>
          <w:rFonts w:cstheme="minorHAnsi"/>
          <w:b/>
          <w:bCs/>
        </w:rPr>
        <w:t>]</w:t>
      </w:r>
    </w:p>
    <w:p w14:paraId="07E5F15A" w14:textId="1AE66C2B" w:rsidR="00401532" w:rsidRPr="00317A8A" w:rsidRDefault="00401532" w:rsidP="0024323E">
      <w:pPr>
        <w:jc w:val="both"/>
        <w:rPr>
          <w:rFonts w:cstheme="minorHAnsi"/>
          <w:b/>
          <w:bCs/>
          <w:u w:val="single"/>
        </w:rPr>
      </w:pPr>
      <w:r w:rsidRPr="00317A8A">
        <w:rPr>
          <w:rFonts w:cstheme="minorHAnsi"/>
          <w:b/>
          <w:bCs/>
          <w:u w:val="single"/>
        </w:rPr>
        <w:t>Etaient absents excusés et représentés :</w:t>
      </w:r>
    </w:p>
    <w:p w14:paraId="054DE452" w14:textId="77777777" w:rsidR="007117A9" w:rsidRDefault="007117A9" w:rsidP="002432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 w:rsidRPr="007117A9">
        <w:rPr>
          <w:rFonts w:cstheme="minorHAnsi"/>
          <w:b/>
          <w:bCs/>
          <w:highlight w:val="yellow"/>
        </w:rPr>
        <w:sym w:font="Wingdings" w:char="F06C"/>
      </w:r>
      <w:r>
        <w:rPr>
          <w:rFonts w:cstheme="minorHAnsi"/>
          <w:b/>
          <w:bCs/>
        </w:rPr>
        <w:t>]</w:t>
      </w:r>
    </w:p>
    <w:p w14:paraId="2E263825" w14:textId="43D2B3F0" w:rsidR="00401532" w:rsidRPr="00317A8A" w:rsidRDefault="00401532" w:rsidP="0024323E">
      <w:pPr>
        <w:jc w:val="both"/>
        <w:rPr>
          <w:rFonts w:cstheme="minorHAnsi"/>
          <w:b/>
          <w:bCs/>
          <w:u w:val="single"/>
        </w:rPr>
      </w:pPr>
      <w:r w:rsidRPr="00317A8A">
        <w:rPr>
          <w:rFonts w:cstheme="minorHAnsi"/>
          <w:b/>
          <w:bCs/>
          <w:u w:val="single"/>
        </w:rPr>
        <w:t>Etaient absents :</w:t>
      </w:r>
    </w:p>
    <w:p w14:paraId="40204CFE" w14:textId="77777777" w:rsidR="007117A9" w:rsidRDefault="007117A9" w:rsidP="002432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 w:rsidRPr="007117A9">
        <w:rPr>
          <w:rFonts w:cstheme="minorHAnsi"/>
          <w:b/>
          <w:bCs/>
          <w:highlight w:val="yellow"/>
        </w:rPr>
        <w:sym w:font="Wingdings" w:char="F06C"/>
      </w:r>
      <w:r>
        <w:rPr>
          <w:rFonts w:cstheme="minorHAnsi"/>
          <w:b/>
          <w:bCs/>
        </w:rPr>
        <w:t>]</w:t>
      </w:r>
    </w:p>
    <w:p w14:paraId="572B413E" w14:textId="2273FE9F" w:rsidR="00F6480F" w:rsidRDefault="007117A9" w:rsidP="0024323E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Etaient représentés dans le cadre d’une procuration : </w:t>
      </w:r>
    </w:p>
    <w:p w14:paraId="17744B72" w14:textId="637F0D82" w:rsidR="007117A9" w:rsidRDefault="007117A9" w:rsidP="002432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 w:rsidRPr="007117A9">
        <w:rPr>
          <w:rFonts w:cstheme="minorHAnsi"/>
          <w:b/>
          <w:bCs/>
          <w:highlight w:val="yellow"/>
        </w:rPr>
        <w:sym w:font="Wingdings" w:char="F06C"/>
      </w:r>
      <w:r>
        <w:rPr>
          <w:rFonts w:cstheme="minorHAnsi"/>
          <w:b/>
          <w:bCs/>
        </w:rPr>
        <w:t>]</w:t>
      </w:r>
    </w:p>
    <w:p w14:paraId="632218B0" w14:textId="77777777" w:rsidR="007117A9" w:rsidRDefault="007117A9" w:rsidP="0024323E">
      <w:pPr>
        <w:jc w:val="both"/>
        <w:rPr>
          <w:rFonts w:cstheme="minorHAnsi"/>
          <w:b/>
          <w:bCs/>
        </w:rPr>
      </w:pPr>
    </w:p>
    <w:p w14:paraId="36D59484" w14:textId="4DDF868B" w:rsidR="007117A9" w:rsidRDefault="007117A9" w:rsidP="002432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DOMAINE : [</w:t>
      </w:r>
      <w:r w:rsidRPr="007117A9">
        <w:rPr>
          <w:rFonts w:cstheme="minorHAnsi"/>
          <w:b/>
          <w:bCs/>
          <w:highlight w:val="yellow"/>
        </w:rPr>
        <w:sym w:font="Wingdings" w:char="F06C"/>
      </w:r>
      <w:r>
        <w:rPr>
          <w:rFonts w:cstheme="minorHAnsi"/>
          <w:b/>
          <w:bCs/>
        </w:rPr>
        <w:t>]</w:t>
      </w:r>
    </w:p>
    <w:p w14:paraId="1DBC6144" w14:textId="6E519116" w:rsidR="007117A9" w:rsidRDefault="007117A9" w:rsidP="0024323E">
      <w:pPr>
        <w:jc w:val="both"/>
        <w:rPr>
          <w:rFonts w:cstheme="minorHAnsi"/>
          <w:b/>
          <w:bCs/>
        </w:rPr>
      </w:pPr>
      <w:r w:rsidRPr="00C66F02">
        <w:rPr>
          <w:rFonts w:cstheme="minorHAnsi"/>
          <w:b/>
          <w:bCs/>
        </w:rPr>
        <w:t xml:space="preserve">OBJET : </w:t>
      </w:r>
      <w:r w:rsidR="00A0646A">
        <w:rPr>
          <w:rFonts w:cstheme="minorHAnsi"/>
          <w:b/>
          <w:bCs/>
        </w:rPr>
        <w:t xml:space="preserve">Lancement du dispositif 1% Mobilité </w:t>
      </w:r>
    </w:p>
    <w:p w14:paraId="4ED097FD" w14:textId="77777777" w:rsidR="007114FE" w:rsidRDefault="007114FE" w:rsidP="0024323E">
      <w:pPr>
        <w:jc w:val="both"/>
        <w:rPr>
          <w:rFonts w:cstheme="minorHAnsi"/>
          <w:b/>
          <w:bCs/>
        </w:rPr>
      </w:pPr>
    </w:p>
    <w:p w14:paraId="12DC1793" w14:textId="173567F4" w:rsidR="002B5B6C" w:rsidRDefault="0021550C" w:rsidP="0024323E">
      <w:pPr>
        <w:jc w:val="both"/>
        <w:rPr>
          <w:rFonts w:cstheme="minorHAnsi"/>
        </w:rPr>
      </w:pPr>
      <w:r w:rsidRPr="007114FE">
        <w:rPr>
          <w:rFonts w:cstheme="minorHAnsi"/>
        </w:rPr>
        <w:t xml:space="preserve">Mesdames, </w:t>
      </w:r>
      <w:r w:rsidR="007114FE" w:rsidRPr="007114FE">
        <w:rPr>
          <w:rFonts w:cstheme="minorHAnsi"/>
        </w:rPr>
        <w:t>M</w:t>
      </w:r>
      <w:r w:rsidRPr="007114FE">
        <w:rPr>
          <w:rFonts w:cstheme="minorHAnsi"/>
        </w:rPr>
        <w:t>essieurs,</w:t>
      </w:r>
    </w:p>
    <w:p w14:paraId="42ED9075" w14:textId="3443B129" w:rsidR="00F017C8" w:rsidRDefault="00D83102" w:rsidP="00D83102">
      <w:pPr>
        <w:jc w:val="both"/>
        <w:rPr>
          <w:szCs w:val="20"/>
        </w:rPr>
      </w:pPr>
      <w:r>
        <w:rPr>
          <w:szCs w:val="20"/>
        </w:rPr>
        <w:t>La [</w:t>
      </w:r>
      <w:r w:rsidRPr="00D03DC1">
        <w:rPr>
          <w:szCs w:val="20"/>
          <w:highlight w:val="yellow"/>
        </w:rPr>
        <w:t>nom de l’AOM</w:t>
      </w:r>
      <w:r>
        <w:rPr>
          <w:szCs w:val="20"/>
        </w:rPr>
        <w:t>] développe depuis [</w:t>
      </w:r>
      <w:r w:rsidRPr="00D83102">
        <w:rPr>
          <w:szCs w:val="20"/>
          <w:highlight w:val="yellow"/>
        </w:rPr>
        <w:t>date</w:t>
      </w:r>
      <w:r>
        <w:rPr>
          <w:szCs w:val="20"/>
        </w:rPr>
        <w:t>] des actions à l’international</w:t>
      </w:r>
      <w:r w:rsidR="00CC1C84">
        <w:rPr>
          <w:szCs w:val="20"/>
        </w:rPr>
        <w:t xml:space="preserve"> dans le domaine de la mobilité</w:t>
      </w:r>
      <w:r w:rsidR="00F017C8">
        <w:rPr>
          <w:szCs w:val="20"/>
        </w:rPr>
        <w:t xml:space="preserve">. </w:t>
      </w:r>
    </w:p>
    <w:p w14:paraId="02A92528" w14:textId="60A7DEB4" w:rsidR="00D83102" w:rsidRDefault="008734BC" w:rsidP="00D83102">
      <w:pPr>
        <w:jc w:val="both"/>
        <w:rPr>
          <w:szCs w:val="20"/>
        </w:rPr>
      </w:pPr>
      <w:r>
        <w:rPr>
          <w:szCs w:val="20"/>
        </w:rPr>
        <w:t>La [</w:t>
      </w:r>
      <w:r w:rsidRPr="00D03DC1">
        <w:rPr>
          <w:szCs w:val="20"/>
          <w:highlight w:val="yellow"/>
        </w:rPr>
        <w:t>nom de l’AOM</w:t>
      </w:r>
      <w:r>
        <w:rPr>
          <w:szCs w:val="20"/>
        </w:rPr>
        <w:t xml:space="preserve">] a </w:t>
      </w:r>
      <w:r w:rsidR="00D83102">
        <w:rPr>
          <w:szCs w:val="20"/>
        </w:rPr>
        <w:t>notamment [</w:t>
      </w:r>
      <w:r>
        <w:rPr>
          <w:szCs w:val="20"/>
          <w:highlight w:val="yellow"/>
        </w:rPr>
        <w:t>A développer : citer des projets de financements internationaux,</w:t>
      </w:r>
      <w:r w:rsidR="007914AB" w:rsidRPr="007914AB">
        <w:rPr>
          <w:szCs w:val="20"/>
          <w:highlight w:val="yellow"/>
        </w:rPr>
        <w:t xml:space="preserve"> citer éventuellement les autres dispositifs 1% mis en place</w:t>
      </w:r>
      <w:r w:rsidR="00D83102">
        <w:rPr>
          <w:szCs w:val="20"/>
        </w:rPr>
        <w:t>].</w:t>
      </w:r>
    </w:p>
    <w:p w14:paraId="2553930A" w14:textId="77777777" w:rsidR="00A80FF3" w:rsidRDefault="00A80FF3" w:rsidP="00A80FF3">
      <w:pPr>
        <w:jc w:val="both"/>
        <w:rPr>
          <w:szCs w:val="20"/>
        </w:rPr>
      </w:pPr>
      <w:r>
        <w:rPr>
          <w:szCs w:val="20"/>
        </w:rPr>
        <w:t>Conformément à l’article L. 1231-1 du code des transports, la [</w:t>
      </w:r>
      <w:r w:rsidRPr="00D03DC1">
        <w:rPr>
          <w:szCs w:val="20"/>
          <w:highlight w:val="yellow"/>
        </w:rPr>
        <w:t>nom de l’AOM</w:t>
      </w:r>
      <w:r>
        <w:rPr>
          <w:szCs w:val="20"/>
        </w:rPr>
        <w:t>]</w:t>
      </w:r>
      <w:r w:rsidRPr="005B24CF">
        <w:rPr>
          <w:szCs w:val="20"/>
        </w:rPr>
        <w:t xml:space="preserve"> </w:t>
      </w:r>
      <w:r>
        <w:rPr>
          <w:szCs w:val="20"/>
        </w:rPr>
        <w:t>est l’autorité organisatrice des mobilités (« </w:t>
      </w:r>
      <w:r w:rsidRPr="00BE4D9E">
        <w:rPr>
          <w:b/>
          <w:bCs/>
          <w:szCs w:val="20"/>
        </w:rPr>
        <w:t>AOM</w:t>
      </w:r>
      <w:r>
        <w:rPr>
          <w:szCs w:val="20"/>
        </w:rPr>
        <w:t> ») sur son ressort territorial.</w:t>
      </w:r>
    </w:p>
    <w:p w14:paraId="522D3337" w14:textId="1AB80E55" w:rsidR="00A410F6" w:rsidRDefault="00A80FF3" w:rsidP="00D83102">
      <w:pPr>
        <w:jc w:val="both"/>
        <w:rPr>
          <w:szCs w:val="20"/>
        </w:rPr>
      </w:pPr>
      <w:r>
        <w:rPr>
          <w:szCs w:val="20"/>
        </w:rPr>
        <w:t>En tant qu’AOM, la</w:t>
      </w:r>
      <w:r w:rsidR="00200599">
        <w:rPr>
          <w:szCs w:val="20"/>
        </w:rPr>
        <w:t xml:space="preserve"> [</w:t>
      </w:r>
      <w:r w:rsidR="00200599" w:rsidRPr="00DD6A3B">
        <w:rPr>
          <w:szCs w:val="20"/>
          <w:highlight w:val="yellow"/>
        </w:rPr>
        <w:t>nom de l’AOM</w:t>
      </w:r>
      <w:r w:rsidR="00200599">
        <w:rPr>
          <w:szCs w:val="20"/>
        </w:rPr>
        <w:t xml:space="preserve">] </w:t>
      </w:r>
      <w:r w:rsidR="00D11DC6">
        <w:rPr>
          <w:szCs w:val="20"/>
        </w:rPr>
        <w:t>entend participer à un nouveau projet : l’accompagnement au développement de politiques de mobilité urbaine durable, pour améliorer les conditions de vie des citadins et lutter contre le réchauffement climatique à l’échelle internationale.</w:t>
      </w:r>
    </w:p>
    <w:p w14:paraId="46E93F2F" w14:textId="6FBF3D0E" w:rsidR="00265583" w:rsidRDefault="0000658A" w:rsidP="00265583">
      <w:pPr>
        <w:jc w:val="both"/>
        <w:rPr>
          <w:rFonts w:cstheme="minorHAnsi"/>
        </w:rPr>
      </w:pPr>
      <w:r>
        <w:rPr>
          <w:rFonts w:cstheme="minorHAnsi"/>
        </w:rPr>
        <w:t>Depuis la</w:t>
      </w:r>
      <w:r w:rsidR="00DA476E">
        <w:rPr>
          <w:rFonts w:cstheme="minorHAnsi"/>
        </w:rPr>
        <w:t xml:space="preserve"> loi n°2021-1031 du 4 août 2021 </w:t>
      </w:r>
      <w:r w:rsidR="00DA476E">
        <w:rPr>
          <w:rFonts w:cstheme="minorHAnsi"/>
          <w:i/>
          <w:iCs/>
        </w:rPr>
        <w:t>de programmation relative au développement solidaire et à la lutte contre les inégalités mondiales</w:t>
      </w:r>
      <w:r w:rsidR="00D2109A" w:rsidRPr="00D2109A">
        <w:rPr>
          <w:rFonts w:cstheme="minorHAnsi"/>
        </w:rPr>
        <w:t xml:space="preserve">, </w:t>
      </w:r>
      <w:r w:rsidR="00441D05">
        <w:rPr>
          <w:rFonts w:cstheme="minorHAnsi"/>
        </w:rPr>
        <w:t>les AOM</w:t>
      </w:r>
      <w:r w:rsidR="000C2A74">
        <w:rPr>
          <w:rFonts w:cstheme="minorHAnsi"/>
        </w:rPr>
        <w:t xml:space="preserve"> peuvent</w:t>
      </w:r>
      <w:r w:rsidR="00441D05">
        <w:rPr>
          <w:rFonts w:cstheme="minorHAnsi"/>
        </w:rPr>
        <w:t xml:space="preserve"> </w:t>
      </w:r>
      <w:r w:rsidR="00265583">
        <w:rPr>
          <w:rFonts w:cstheme="minorHAnsi"/>
        </w:rPr>
        <w:t xml:space="preserve">décider de financer, dans la limite de 1% des ressources affectées aux budgets des services de mobilité, </w:t>
      </w:r>
      <w:r w:rsidR="00265583" w:rsidRPr="00B6579B">
        <w:rPr>
          <w:rFonts w:cstheme="minorHAnsi"/>
        </w:rPr>
        <w:t>des actions de coopération internationale</w:t>
      </w:r>
      <w:r w:rsidR="00265583">
        <w:rPr>
          <w:rFonts w:cstheme="minorHAnsi"/>
        </w:rPr>
        <w:t xml:space="preserve">, </w:t>
      </w:r>
      <w:r w:rsidR="00265583" w:rsidRPr="00B6579B">
        <w:rPr>
          <w:rFonts w:cstheme="minorHAnsi"/>
        </w:rPr>
        <w:t>des actions d’aide d’urgence et des actions de solidarité internationale dans le domaine des mobilités</w:t>
      </w:r>
      <w:r w:rsidR="00265583">
        <w:rPr>
          <w:rFonts w:cstheme="minorHAnsi"/>
        </w:rPr>
        <w:t>.</w:t>
      </w:r>
    </w:p>
    <w:p w14:paraId="5845F0FC" w14:textId="77777777" w:rsidR="009D63FF" w:rsidRDefault="002F1D63" w:rsidP="002F1D63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Le dispositif « 1% mobilité » </w:t>
      </w:r>
      <w:r w:rsidR="00866E70">
        <w:rPr>
          <w:rFonts w:cstheme="minorHAnsi"/>
        </w:rPr>
        <w:t xml:space="preserve">est prévu à l’article L. 1115-3 du code général des collectivités territoriales. </w:t>
      </w:r>
    </w:p>
    <w:p w14:paraId="34F8DBD3" w14:textId="7EA342C8" w:rsidR="002F1D63" w:rsidRDefault="00866E70" w:rsidP="002F1D63">
      <w:pPr>
        <w:spacing w:before="24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Il </w:t>
      </w:r>
      <w:r w:rsidR="002F1D63">
        <w:rPr>
          <w:rFonts w:cstheme="minorHAnsi"/>
        </w:rPr>
        <w:t>s’ajoute à la liste des autres « dispositifs 1% » qui reposent sur le même principe, dans les domaines de l’eau, des déchets et de l’énergie.</w:t>
      </w:r>
    </w:p>
    <w:p w14:paraId="1B482F20" w14:textId="5EC11366" w:rsidR="0079042A" w:rsidRDefault="0079042A" w:rsidP="00D2109A">
      <w:pPr>
        <w:jc w:val="both"/>
        <w:rPr>
          <w:rFonts w:cstheme="minorHAnsi"/>
        </w:rPr>
      </w:pPr>
      <w:r>
        <w:rPr>
          <w:rFonts w:cstheme="minorHAnsi"/>
        </w:rPr>
        <w:t>L’assiette de calcul du 1%</w:t>
      </w:r>
      <w:r w:rsidR="008255DA">
        <w:rPr>
          <w:rFonts w:cstheme="minorHAnsi"/>
        </w:rPr>
        <w:t xml:space="preserve"> mobilité</w:t>
      </w:r>
      <w:r>
        <w:rPr>
          <w:rFonts w:cstheme="minorHAnsi"/>
        </w:rPr>
        <w:t xml:space="preserve"> </w:t>
      </w:r>
      <w:r w:rsidR="007F73B0">
        <w:rPr>
          <w:rFonts w:cstheme="minorHAnsi"/>
        </w:rPr>
        <w:t xml:space="preserve">comprend toutes les ressources affectées aux budgets des services de mobilité, à l’exclusion du versement destiné au financement des services de mobilité (le « </w:t>
      </w:r>
      <w:r w:rsidR="007F73B0" w:rsidRPr="000F5657">
        <w:rPr>
          <w:rFonts w:cstheme="minorHAnsi"/>
          <w:b/>
          <w:bCs/>
        </w:rPr>
        <w:t>ve</w:t>
      </w:r>
      <w:r w:rsidR="00215649" w:rsidRPr="000F5657">
        <w:rPr>
          <w:rFonts w:cstheme="minorHAnsi"/>
          <w:b/>
          <w:bCs/>
        </w:rPr>
        <w:t>rsement mobilité</w:t>
      </w:r>
      <w:r w:rsidR="00215649">
        <w:rPr>
          <w:rFonts w:cstheme="minorHAnsi"/>
        </w:rPr>
        <w:t> »</w:t>
      </w:r>
      <w:r w:rsidR="002C4BEA">
        <w:rPr>
          <w:rFonts w:cstheme="minorHAnsi"/>
        </w:rPr>
        <w:t xml:space="preserve"> ou « </w:t>
      </w:r>
      <w:r w:rsidR="002C4BEA" w:rsidRPr="002C4BEA">
        <w:rPr>
          <w:rFonts w:cstheme="minorHAnsi"/>
          <w:b/>
          <w:bCs/>
        </w:rPr>
        <w:t>VM</w:t>
      </w:r>
      <w:r w:rsidR="002C4BEA">
        <w:rPr>
          <w:rFonts w:cstheme="minorHAnsi"/>
        </w:rPr>
        <w:t> »</w:t>
      </w:r>
      <w:r w:rsidR="00215649">
        <w:rPr>
          <w:rFonts w:cstheme="minorHAnsi"/>
        </w:rPr>
        <w:t>).</w:t>
      </w:r>
    </w:p>
    <w:p w14:paraId="6F06FBC3" w14:textId="0F8ED01D" w:rsidR="00A410F6" w:rsidRDefault="00A6725F" w:rsidP="00D2109A">
      <w:pPr>
        <w:jc w:val="both"/>
        <w:rPr>
          <w:rFonts w:cstheme="minorHAnsi"/>
        </w:rPr>
      </w:pPr>
      <w:r>
        <w:rPr>
          <w:rFonts w:cstheme="minorHAnsi"/>
        </w:rPr>
        <w:t>A titre informatif, e</w:t>
      </w:r>
      <w:r w:rsidR="00765ECC">
        <w:rPr>
          <w:rFonts w:cstheme="minorHAnsi"/>
        </w:rPr>
        <w:t xml:space="preserve">n </w:t>
      </w:r>
      <w:r w:rsidR="00BD20EF">
        <w:rPr>
          <w:rFonts w:cstheme="minorHAnsi"/>
          <w:b/>
          <w:bCs/>
        </w:rPr>
        <w:t>[</w:t>
      </w:r>
      <w:r w:rsidR="00BD20EF" w:rsidRPr="007117A9">
        <w:rPr>
          <w:rFonts w:cstheme="minorHAnsi"/>
          <w:b/>
          <w:bCs/>
          <w:highlight w:val="yellow"/>
        </w:rPr>
        <w:sym w:font="Wingdings" w:char="F06C"/>
      </w:r>
      <w:r w:rsidR="00BD20EF">
        <w:rPr>
          <w:rFonts w:cstheme="minorHAnsi"/>
          <w:b/>
          <w:bCs/>
        </w:rPr>
        <w:t>]</w:t>
      </w:r>
      <w:r w:rsidR="00765ECC">
        <w:rPr>
          <w:rFonts w:cstheme="minorHAnsi"/>
        </w:rPr>
        <w:t>, le</w:t>
      </w:r>
      <w:r w:rsidR="008B408E">
        <w:rPr>
          <w:rFonts w:cstheme="minorHAnsi"/>
        </w:rPr>
        <w:t xml:space="preserve"> montant total de ressources affectées aux budgets des services de mobilité (</w:t>
      </w:r>
      <w:proofErr w:type="gramStart"/>
      <w:r w:rsidR="008B408E">
        <w:rPr>
          <w:rFonts w:cstheme="minorHAnsi"/>
        </w:rPr>
        <w:t>hors</w:t>
      </w:r>
      <w:proofErr w:type="gramEnd"/>
      <w:r w:rsidR="008B408E">
        <w:rPr>
          <w:rFonts w:cstheme="minorHAnsi"/>
        </w:rPr>
        <w:t xml:space="preserve"> VM</w:t>
      </w:r>
      <w:r w:rsidR="008E514D">
        <w:rPr>
          <w:rFonts w:cstheme="minorHAnsi"/>
        </w:rPr>
        <w:t xml:space="preserve">), </w:t>
      </w:r>
      <w:r w:rsidR="00765ECC">
        <w:rPr>
          <w:rFonts w:cstheme="minorHAnsi"/>
        </w:rPr>
        <w:t xml:space="preserve">représentait environ </w:t>
      </w:r>
      <w:r w:rsidR="00BD20EF">
        <w:rPr>
          <w:rFonts w:cstheme="minorHAnsi"/>
          <w:b/>
          <w:bCs/>
        </w:rPr>
        <w:t>[</w:t>
      </w:r>
      <w:r w:rsidR="00BD20EF" w:rsidRPr="007117A9">
        <w:rPr>
          <w:rFonts w:cstheme="minorHAnsi"/>
          <w:b/>
          <w:bCs/>
          <w:highlight w:val="yellow"/>
        </w:rPr>
        <w:sym w:font="Wingdings" w:char="F06C"/>
      </w:r>
      <w:r w:rsidR="00BD20EF">
        <w:rPr>
          <w:rFonts w:cstheme="minorHAnsi"/>
          <w:b/>
          <w:bCs/>
        </w:rPr>
        <w:t>]</w:t>
      </w:r>
      <w:r w:rsidR="00765EC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7140475" w14:textId="1A6F6D4F" w:rsidR="0095008D" w:rsidRPr="00582B5B" w:rsidRDefault="00765ECC" w:rsidP="0024323E">
      <w:pPr>
        <w:jc w:val="both"/>
        <w:rPr>
          <w:rFonts w:cstheme="minorHAnsi"/>
        </w:rPr>
      </w:pPr>
      <w:r>
        <w:rPr>
          <w:rFonts w:cstheme="minorHAnsi"/>
        </w:rPr>
        <w:t xml:space="preserve">Ce qui signifie </w:t>
      </w:r>
      <w:r w:rsidR="00A6725F">
        <w:rPr>
          <w:rFonts w:cstheme="minorHAnsi"/>
        </w:rPr>
        <w:t>que pour cette année une</w:t>
      </w:r>
      <w:r>
        <w:rPr>
          <w:rFonts w:cstheme="minorHAnsi"/>
        </w:rPr>
        <w:t xml:space="preserve"> somme maximale de </w:t>
      </w:r>
      <w:r w:rsidR="00BD20EF">
        <w:rPr>
          <w:rFonts w:cstheme="minorHAnsi"/>
          <w:b/>
          <w:bCs/>
        </w:rPr>
        <w:t>[</w:t>
      </w:r>
      <w:r w:rsidR="00BD20EF" w:rsidRPr="007117A9">
        <w:rPr>
          <w:rFonts w:cstheme="minorHAnsi"/>
          <w:b/>
          <w:bCs/>
          <w:highlight w:val="yellow"/>
        </w:rPr>
        <w:sym w:font="Wingdings" w:char="F06C"/>
      </w:r>
      <w:r w:rsidR="00BD20EF">
        <w:rPr>
          <w:rFonts w:cstheme="minorHAnsi"/>
          <w:b/>
          <w:bCs/>
        </w:rPr>
        <w:t xml:space="preserve">] </w:t>
      </w:r>
      <w:r>
        <w:rPr>
          <w:rFonts w:cstheme="minorHAnsi"/>
        </w:rPr>
        <w:t>pourrait être affecté au 1% mobilité.</w:t>
      </w:r>
    </w:p>
    <w:p w14:paraId="63BFBEFC" w14:textId="77777777" w:rsidR="0024323E" w:rsidRPr="00317A8A" w:rsidRDefault="0024323E" w:rsidP="007117A9">
      <w:pPr>
        <w:rPr>
          <w:rFonts w:cstheme="minorHAnsi"/>
        </w:rPr>
      </w:pPr>
    </w:p>
    <w:p w14:paraId="1076947B" w14:textId="708B24EF" w:rsidR="00A04F57" w:rsidRDefault="002B5B6C" w:rsidP="002B5B6C">
      <w:pPr>
        <w:jc w:val="both"/>
        <w:rPr>
          <w:rFonts w:cstheme="minorHAnsi"/>
        </w:rPr>
      </w:pPr>
      <w:r w:rsidRPr="005D67D4">
        <w:rPr>
          <w:rFonts w:cstheme="minorHAnsi"/>
        </w:rPr>
        <w:t>VU le code général des collectivités territoriales</w:t>
      </w:r>
      <w:r w:rsidR="0079154D">
        <w:rPr>
          <w:rFonts w:cstheme="minorHAnsi"/>
        </w:rPr>
        <w:t xml:space="preserve">, et notamment </w:t>
      </w:r>
      <w:r w:rsidR="009F290F">
        <w:rPr>
          <w:rFonts w:cstheme="minorHAnsi"/>
        </w:rPr>
        <w:t>son a</w:t>
      </w:r>
      <w:r w:rsidR="00D06F31">
        <w:rPr>
          <w:rFonts w:cstheme="minorHAnsi"/>
        </w:rPr>
        <w:t xml:space="preserve">rticle L. 1115-3 ; </w:t>
      </w:r>
    </w:p>
    <w:p w14:paraId="320E530F" w14:textId="40BA03B7" w:rsidR="009F290F" w:rsidRDefault="009F290F" w:rsidP="002B5B6C">
      <w:pPr>
        <w:jc w:val="both"/>
        <w:rPr>
          <w:rFonts w:cstheme="minorHAnsi"/>
        </w:rPr>
      </w:pPr>
      <w:r>
        <w:rPr>
          <w:rFonts w:cstheme="minorHAnsi"/>
        </w:rPr>
        <w:t xml:space="preserve">VU le code des transports, et notamment son article </w:t>
      </w:r>
      <w:r>
        <w:rPr>
          <w:szCs w:val="20"/>
        </w:rPr>
        <w:t>L. 1231-1 ;</w:t>
      </w:r>
    </w:p>
    <w:p w14:paraId="2DA136B4" w14:textId="65115AC6" w:rsidR="00767F91" w:rsidRPr="005D67D4" w:rsidRDefault="00767F91" w:rsidP="002B5B6C">
      <w:pPr>
        <w:jc w:val="both"/>
        <w:rPr>
          <w:rFonts w:cstheme="minorHAnsi"/>
        </w:rPr>
      </w:pPr>
      <w:r>
        <w:rPr>
          <w:rFonts w:cstheme="minorHAnsi"/>
        </w:rPr>
        <w:t xml:space="preserve">VU la loi n°2021-1031 du 4 août 2021 </w:t>
      </w:r>
      <w:r w:rsidRPr="00767F91">
        <w:rPr>
          <w:rFonts w:cstheme="minorHAnsi"/>
        </w:rPr>
        <w:t>de programmation relative au développement solidaire et à la lutte contre les inégalités mondiale</w:t>
      </w:r>
      <w:r>
        <w:rPr>
          <w:rFonts w:cstheme="minorHAnsi"/>
        </w:rPr>
        <w:t xml:space="preserve">s, </w:t>
      </w:r>
    </w:p>
    <w:p w14:paraId="4DA2872F" w14:textId="02591918" w:rsidR="002B5B6C" w:rsidRDefault="002B5B6C" w:rsidP="002B5B6C">
      <w:pPr>
        <w:jc w:val="both"/>
        <w:rPr>
          <w:rFonts w:cstheme="minorHAnsi"/>
          <w:b/>
          <w:bCs/>
        </w:rPr>
      </w:pPr>
      <w:r w:rsidRPr="005D67D4">
        <w:rPr>
          <w:rFonts w:cstheme="minorHAnsi"/>
        </w:rPr>
        <w:t xml:space="preserve">Considérant </w:t>
      </w:r>
      <w:r w:rsidR="00FE467B">
        <w:rPr>
          <w:rFonts w:cstheme="minorHAnsi"/>
        </w:rPr>
        <w:t xml:space="preserve">la nécessité d’accompagner </w:t>
      </w:r>
      <w:r w:rsidR="00972DE2">
        <w:rPr>
          <w:rFonts w:cstheme="minorHAnsi"/>
        </w:rPr>
        <w:t xml:space="preserve">des pays étrangers à développer des </w:t>
      </w:r>
      <w:r w:rsidR="00023EC1">
        <w:rPr>
          <w:rFonts w:cstheme="minorHAnsi"/>
        </w:rPr>
        <w:t>politiques</w:t>
      </w:r>
      <w:r w:rsidR="00972DE2">
        <w:rPr>
          <w:rFonts w:cstheme="minorHAnsi"/>
        </w:rPr>
        <w:t xml:space="preserve"> de mobilité urbaine durable, pour améliorer les conditions de vie des citadins et </w:t>
      </w:r>
      <w:r w:rsidR="00023EC1">
        <w:rPr>
          <w:rFonts w:cstheme="minorHAnsi"/>
        </w:rPr>
        <w:t xml:space="preserve">lutter contre le réchauffement climatique à l’échelle </w:t>
      </w:r>
      <w:r w:rsidR="00FB34AB">
        <w:rPr>
          <w:rFonts w:cstheme="minorHAnsi"/>
        </w:rPr>
        <w:t>mondiale</w:t>
      </w:r>
      <w:r w:rsidR="00FB34AB" w:rsidRPr="00BE5054">
        <w:rPr>
          <w:rFonts w:cstheme="minorHAnsi"/>
        </w:rPr>
        <w:t> </w:t>
      </w:r>
      <w:r w:rsidR="00023EC1" w:rsidRPr="00BE5054">
        <w:rPr>
          <w:rFonts w:cstheme="minorHAnsi"/>
        </w:rPr>
        <w:t>;</w:t>
      </w:r>
    </w:p>
    <w:p w14:paraId="650E1B3A" w14:textId="0DD5B9B8" w:rsidR="00DD0120" w:rsidRDefault="005D67D4" w:rsidP="00DF1935">
      <w:pPr>
        <w:jc w:val="both"/>
        <w:rPr>
          <w:rFonts w:cstheme="minorHAnsi"/>
        </w:rPr>
      </w:pPr>
      <w:r>
        <w:rPr>
          <w:rFonts w:cstheme="minorHAnsi"/>
        </w:rPr>
        <w:t>Considérant</w:t>
      </w:r>
      <w:r w:rsidR="00E7529E">
        <w:rPr>
          <w:rFonts w:cstheme="minorHAnsi"/>
        </w:rPr>
        <w:t xml:space="preserve"> </w:t>
      </w:r>
      <w:r w:rsidR="00DE449F">
        <w:rPr>
          <w:rFonts w:cstheme="minorHAnsi"/>
        </w:rPr>
        <w:t>l</w:t>
      </w:r>
      <w:r w:rsidR="00D354A8">
        <w:rPr>
          <w:rFonts w:cstheme="minorHAnsi"/>
        </w:rPr>
        <w:t>a</w:t>
      </w:r>
      <w:r w:rsidR="00DE449F">
        <w:rPr>
          <w:rFonts w:cstheme="minorHAnsi"/>
        </w:rPr>
        <w:t xml:space="preserve"> dynamique d’ouverture internationale de notre collectivité et son souhait de prendre une part active aux enjeux mondiaux </w:t>
      </w:r>
      <w:r w:rsidR="009B0EC8">
        <w:rPr>
          <w:rFonts w:cstheme="minorHAnsi"/>
        </w:rPr>
        <w:t>de lutte contre le réchauffement climatique et de développement de politiques de mobilité urbaine durable</w:t>
      </w:r>
      <w:r w:rsidR="00877FA0">
        <w:rPr>
          <w:rFonts w:cstheme="minorHAnsi"/>
        </w:rPr>
        <w:t xml:space="preserve"> ; </w:t>
      </w:r>
    </w:p>
    <w:p w14:paraId="2202F922" w14:textId="77777777" w:rsidR="00877FA0" w:rsidRPr="00317A8A" w:rsidRDefault="00877FA0" w:rsidP="00DF1935">
      <w:pPr>
        <w:jc w:val="both"/>
        <w:rPr>
          <w:rFonts w:cstheme="minorHAnsi"/>
        </w:rPr>
      </w:pPr>
    </w:p>
    <w:p w14:paraId="0EB5CA5B" w14:textId="4D383479" w:rsidR="00D63C8E" w:rsidRPr="00317A8A" w:rsidRDefault="00D63C8E" w:rsidP="00DF1935">
      <w:pPr>
        <w:jc w:val="both"/>
        <w:rPr>
          <w:rFonts w:cstheme="minorHAnsi"/>
          <w:b/>
          <w:bCs/>
        </w:rPr>
      </w:pPr>
      <w:r w:rsidRPr="00317A8A">
        <w:rPr>
          <w:rFonts w:cstheme="minorHAnsi"/>
          <w:b/>
          <w:bCs/>
        </w:rPr>
        <w:t>Ouï l</w:t>
      </w:r>
      <w:r w:rsidR="00045EE4" w:rsidRPr="00317A8A">
        <w:rPr>
          <w:rFonts w:cstheme="minorHAnsi"/>
          <w:b/>
          <w:bCs/>
        </w:rPr>
        <w:t>’</w:t>
      </w:r>
      <w:r w:rsidRPr="00317A8A">
        <w:rPr>
          <w:rFonts w:cstheme="minorHAnsi"/>
          <w:b/>
          <w:bCs/>
        </w:rPr>
        <w:t xml:space="preserve">exposé du rapporteur, le Conseil </w:t>
      </w:r>
      <w:r w:rsidR="00023EC1">
        <w:rPr>
          <w:rFonts w:cstheme="minorHAnsi"/>
          <w:b/>
          <w:bCs/>
        </w:rPr>
        <w:t>Communautaire</w:t>
      </w:r>
      <w:r w:rsidRPr="00317A8A">
        <w:rPr>
          <w:rFonts w:cstheme="minorHAnsi"/>
          <w:b/>
          <w:bCs/>
        </w:rPr>
        <w:t xml:space="preserve"> délibère, et : </w:t>
      </w:r>
    </w:p>
    <w:p w14:paraId="286A7978" w14:textId="49F63332" w:rsidR="00453BF7" w:rsidRPr="00453BF7" w:rsidRDefault="002B5B6C" w:rsidP="00453BF7">
      <w:pPr>
        <w:pStyle w:val="Paragraphedeliste"/>
        <w:numPr>
          <w:ilvl w:val="0"/>
          <w:numId w:val="6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APPROUVE</w:t>
      </w:r>
      <w:r w:rsidR="00D63C8E" w:rsidRPr="00317A8A">
        <w:rPr>
          <w:rFonts w:cstheme="minorHAnsi"/>
        </w:rPr>
        <w:t xml:space="preserve"> la </w:t>
      </w:r>
      <w:r w:rsidR="0002208D">
        <w:rPr>
          <w:rFonts w:cstheme="minorHAnsi"/>
        </w:rPr>
        <w:t xml:space="preserve">mise en œuvre du dispositif 1% mobilité ; </w:t>
      </w:r>
    </w:p>
    <w:p w14:paraId="6C7435E9" w14:textId="64B7641A" w:rsidR="0096054D" w:rsidRDefault="0096054D" w:rsidP="0096054D">
      <w:pPr>
        <w:pStyle w:val="Paragraphedeliste"/>
        <w:jc w:val="both"/>
        <w:rPr>
          <w:rFonts w:cstheme="minorHAnsi"/>
          <w:b/>
          <w:bCs/>
        </w:rPr>
      </w:pPr>
    </w:p>
    <w:p w14:paraId="37A963FF" w14:textId="260A9A69" w:rsidR="0021550C" w:rsidRDefault="0021550C" w:rsidP="0021550C">
      <w:pPr>
        <w:pStyle w:val="Paragraphedeliste"/>
        <w:numPr>
          <w:ilvl w:val="0"/>
          <w:numId w:val="6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AUTORISE </w:t>
      </w:r>
      <w:r w:rsidR="00A04861">
        <w:rPr>
          <w:rFonts w:cstheme="minorHAnsi"/>
        </w:rPr>
        <w:t xml:space="preserve">le Président de la </w:t>
      </w:r>
      <w:r w:rsidR="00A04861">
        <w:rPr>
          <w:rFonts w:cstheme="minorHAnsi"/>
          <w:b/>
          <w:bCs/>
        </w:rPr>
        <w:t>[</w:t>
      </w:r>
      <w:r w:rsidR="00A04861" w:rsidRPr="007117A9">
        <w:rPr>
          <w:rFonts w:cstheme="minorHAnsi"/>
          <w:b/>
          <w:bCs/>
          <w:highlight w:val="yellow"/>
        </w:rPr>
        <w:sym w:font="Wingdings" w:char="F06C"/>
      </w:r>
      <w:r w:rsidR="00A04861">
        <w:rPr>
          <w:rFonts w:cstheme="minorHAnsi"/>
          <w:b/>
          <w:bCs/>
        </w:rPr>
        <w:t xml:space="preserve">] </w:t>
      </w:r>
      <w:r w:rsidR="007114FE">
        <w:rPr>
          <w:rFonts w:cstheme="minorHAnsi"/>
        </w:rPr>
        <w:t xml:space="preserve">à signer tous documents nécessaires à la mise en œuvre de cette délibération. </w:t>
      </w:r>
    </w:p>
    <w:p w14:paraId="242E6610" w14:textId="1211C49A" w:rsidR="00D01474" w:rsidRPr="00BD20EF" w:rsidRDefault="00D01474" w:rsidP="00BD20EF">
      <w:pPr>
        <w:rPr>
          <w:rFonts w:cstheme="minorHAnsi"/>
          <w:b/>
          <w:bCs/>
        </w:rPr>
      </w:pPr>
    </w:p>
    <w:p w14:paraId="4EAFFDF8" w14:textId="55F6BBC9" w:rsidR="0096054D" w:rsidRPr="00317A8A" w:rsidRDefault="0096054D" w:rsidP="0096054D">
      <w:pPr>
        <w:pStyle w:val="Paragraphedeliste"/>
        <w:ind w:left="2124"/>
        <w:rPr>
          <w:rFonts w:cstheme="minorHAnsi"/>
          <w:b/>
          <w:bCs/>
        </w:rPr>
      </w:pPr>
      <w:r w:rsidRPr="00317A8A">
        <w:rPr>
          <w:rFonts w:cstheme="minorHAnsi"/>
          <w:b/>
          <w:bCs/>
        </w:rPr>
        <w:t>POUR :</w:t>
      </w:r>
    </w:p>
    <w:p w14:paraId="1D61BAC0" w14:textId="758EEC34" w:rsidR="0096054D" w:rsidRPr="00317A8A" w:rsidRDefault="0096054D" w:rsidP="0096054D">
      <w:pPr>
        <w:pStyle w:val="Paragraphedeliste"/>
        <w:ind w:left="2124"/>
        <w:rPr>
          <w:rFonts w:cstheme="minorHAnsi"/>
          <w:b/>
          <w:bCs/>
        </w:rPr>
      </w:pPr>
      <w:r w:rsidRPr="00317A8A">
        <w:rPr>
          <w:rFonts w:cstheme="minorHAnsi"/>
          <w:b/>
          <w:bCs/>
        </w:rPr>
        <w:t>CONTRE :</w:t>
      </w:r>
    </w:p>
    <w:p w14:paraId="10E248AC" w14:textId="042E1A48" w:rsidR="0096054D" w:rsidRPr="00317A8A" w:rsidRDefault="0096054D" w:rsidP="0096054D">
      <w:pPr>
        <w:rPr>
          <w:rFonts w:cstheme="minorHAnsi"/>
        </w:rPr>
      </w:pPr>
    </w:p>
    <w:p w14:paraId="77B2F89F" w14:textId="0D4B9B8F" w:rsidR="0096054D" w:rsidRPr="00317A8A" w:rsidRDefault="0096054D" w:rsidP="0096054D">
      <w:pPr>
        <w:spacing w:after="0"/>
        <w:jc w:val="center"/>
        <w:rPr>
          <w:rFonts w:cstheme="minorHAnsi"/>
        </w:rPr>
      </w:pPr>
      <w:r w:rsidRPr="00317A8A">
        <w:rPr>
          <w:rFonts w:cstheme="minorHAnsi"/>
        </w:rPr>
        <w:t xml:space="preserve">Le </w:t>
      </w:r>
      <w:r w:rsidR="003C04A7">
        <w:rPr>
          <w:rFonts w:cstheme="minorHAnsi"/>
          <w:b/>
          <w:bCs/>
        </w:rPr>
        <w:t>[</w:t>
      </w:r>
      <w:r w:rsidR="003C04A7" w:rsidRPr="007117A9">
        <w:rPr>
          <w:rFonts w:cstheme="minorHAnsi"/>
          <w:b/>
          <w:bCs/>
          <w:highlight w:val="yellow"/>
        </w:rPr>
        <w:sym w:font="Wingdings" w:char="F06C"/>
      </w:r>
      <w:r w:rsidR="003C04A7">
        <w:rPr>
          <w:rFonts w:cstheme="minorHAnsi"/>
          <w:b/>
          <w:bCs/>
        </w:rPr>
        <w:t>]</w:t>
      </w:r>
    </w:p>
    <w:p w14:paraId="1CFBD194" w14:textId="49943D86" w:rsidR="008C11BC" w:rsidRPr="00317A8A" w:rsidRDefault="0096054D" w:rsidP="002B5B6C">
      <w:pPr>
        <w:spacing w:after="0"/>
        <w:jc w:val="center"/>
        <w:rPr>
          <w:rFonts w:cstheme="minorHAnsi"/>
        </w:rPr>
      </w:pPr>
      <w:r w:rsidRPr="00317A8A">
        <w:rPr>
          <w:rFonts w:cstheme="minorHAnsi"/>
        </w:rPr>
        <w:t xml:space="preserve">Le </w:t>
      </w:r>
      <w:r w:rsidR="005E5336">
        <w:rPr>
          <w:rFonts w:cstheme="minorHAnsi"/>
        </w:rPr>
        <w:t>Président</w:t>
      </w:r>
      <w:r w:rsidRPr="00317A8A">
        <w:rPr>
          <w:rFonts w:cstheme="minorHAnsi"/>
        </w:rPr>
        <w:t xml:space="preserve">, </w:t>
      </w:r>
      <w:r w:rsidR="002B5B6C">
        <w:rPr>
          <w:rFonts w:cstheme="minorHAnsi"/>
          <w:b/>
          <w:bCs/>
        </w:rPr>
        <w:t>[</w:t>
      </w:r>
      <w:r w:rsidR="002B5B6C" w:rsidRPr="007117A9">
        <w:rPr>
          <w:rFonts w:cstheme="minorHAnsi"/>
          <w:b/>
          <w:bCs/>
          <w:highlight w:val="yellow"/>
        </w:rPr>
        <w:sym w:font="Wingdings" w:char="F06C"/>
      </w:r>
      <w:r w:rsidR="002B5B6C">
        <w:rPr>
          <w:rFonts w:cstheme="minorHAnsi"/>
          <w:b/>
          <w:bCs/>
        </w:rPr>
        <w:t>]</w:t>
      </w:r>
    </w:p>
    <w:p w14:paraId="61D9CE3D" w14:textId="77777777" w:rsidR="00C41377" w:rsidRPr="00317A8A" w:rsidRDefault="00C41377" w:rsidP="005B0E15">
      <w:pPr>
        <w:spacing w:line="240" w:lineRule="auto"/>
        <w:rPr>
          <w:rFonts w:cstheme="minorHAnsi"/>
          <w:i/>
          <w:iCs/>
        </w:rPr>
      </w:pPr>
    </w:p>
    <w:p w14:paraId="3FFD9D3F" w14:textId="10185502" w:rsidR="008C11BC" w:rsidRPr="00317A8A" w:rsidRDefault="008C11BC" w:rsidP="008C3A54">
      <w:pPr>
        <w:spacing w:line="240" w:lineRule="auto"/>
        <w:jc w:val="center"/>
        <w:rPr>
          <w:rFonts w:cstheme="minorHAnsi"/>
          <w:i/>
          <w:iCs/>
        </w:rPr>
      </w:pPr>
      <w:r w:rsidRPr="00317A8A">
        <w:rPr>
          <w:rFonts w:cstheme="minorHAnsi"/>
          <w:i/>
          <w:iCs/>
        </w:rPr>
        <w:t>En application des dispositions des article</w:t>
      </w:r>
      <w:r w:rsidR="004A2CBF" w:rsidRPr="00317A8A">
        <w:rPr>
          <w:rFonts w:cstheme="minorHAnsi"/>
          <w:i/>
          <w:iCs/>
        </w:rPr>
        <w:t>s</w:t>
      </w:r>
      <w:r w:rsidRPr="00317A8A">
        <w:rPr>
          <w:rFonts w:cstheme="minorHAnsi"/>
          <w:i/>
          <w:iCs/>
        </w:rPr>
        <w:t xml:space="preserve"> R. 421-1 à R. 421-5 du code de justice administrative, cette délibération peut faire l</w:t>
      </w:r>
      <w:r w:rsidR="00045EE4" w:rsidRPr="00317A8A">
        <w:rPr>
          <w:rFonts w:cstheme="minorHAnsi"/>
          <w:i/>
          <w:iCs/>
        </w:rPr>
        <w:t>’</w:t>
      </w:r>
      <w:r w:rsidRPr="00317A8A">
        <w:rPr>
          <w:rFonts w:cstheme="minorHAnsi"/>
          <w:i/>
          <w:iCs/>
        </w:rPr>
        <w:t>objet d</w:t>
      </w:r>
      <w:r w:rsidR="00045EE4" w:rsidRPr="00317A8A">
        <w:rPr>
          <w:rFonts w:cstheme="minorHAnsi"/>
          <w:i/>
          <w:iCs/>
        </w:rPr>
        <w:t>’</w:t>
      </w:r>
      <w:r w:rsidRPr="00317A8A">
        <w:rPr>
          <w:rFonts w:cstheme="minorHAnsi"/>
          <w:i/>
          <w:iCs/>
        </w:rPr>
        <w:t xml:space="preserve">un recours en annulation devant le Tribunal administratif de </w:t>
      </w:r>
      <w:r w:rsidR="0021550C">
        <w:rPr>
          <w:rFonts w:cstheme="minorHAnsi"/>
          <w:b/>
          <w:bCs/>
        </w:rPr>
        <w:t>[</w:t>
      </w:r>
      <w:r w:rsidR="0021550C" w:rsidRPr="007117A9">
        <w:rPr>
          <w:rFonts w:cstheme="minorHAnsi"/>
          <w:b/>
          <w:bCs/>
          <w:highlight w:val="yellow"/>
        </w:rPr>
        <w:sym w:font="Wingdings" w:char="F06C"/>
      </w:r>
      <w:r w:rsidR="0021550C">
        <w:rPr>
          <w:rFonts w:cstheme="minorHAnsi"/>
          <w:b/>
          <w:bCs/>
        </w:rPr>
        <w:t xml:space="preserve">] </w:t>
      </w:r>
      <w:r w:rsidRPr="00317A8A">
        <w:rPr>
          <w:rFonts w:cstheme="minorHAnsi"/>
          <w:i/>
          <w:iCs/>
        </w:rPr>
        <w:t>dans un délai de deux mois à compter de la réception par le représentant de l</w:t>
      </w:r>
      <w:r w:rsidR="00045EE4" w:rsidRPr="00317A8A">
        <w:rPr>
          <w:rFonts w:cstheme="minorHAnsi"/>
          <w:i/>
          <w:iCs/>
        </w:rPr>
        <w:t>’</w:t>
      </w:r>
      <w:r w:rsidRPr="00317A8A">
        <w:rPr>
          <w:rFonts w:cstheme="minorHAnsi"/>
          <w:i/>
          <w:iCs/>
        </w:rPr>
        <w:t>Etat dans le département et de sa publication.</w:t>
      </w:r>
    </w:p>
    <w:p w14:paraId="0F326FE8" w14:textId="7BC9EF1F" w:rsidR="008C11BC" w:rsidRPr="00317A8A" w:rsidRDefault="008C11BC" w:rsidP="00C41377">
      <w:pPr>
        <w:spacing w:line="240" w:lineRule="auto"/>
        <w:jc w:val="center"/>
        <w:rPr>
          <w:rFonts w:cstheme="minorHAnsi"/>
          <w:i/>
          <w:iCs/>
        </w:rPr>
      </w:pPr>
      <w:r w:rsidRPr="00317A8A">
        <w:rPr>
          <w:rFonts w:cstheme="minorHAnsi"/>
          <w:i/>
          <w:iCs/>
        </w:rPr>
        <w:t>Le tribunal administratif peut être saisi par l</w:t>
      </w:r>
      <w:r w:rsidR="00045EE4" w:rsidRPr="00317A8A">
        <w:rPr>
          <w:rFonts w:cstheme="minorHAnsi"/>
          <w:i/>
          <w:iCs/>
        </w:rPr>
        <w:t>’</w:t>
      </w:r>
      <w:r w:rsidRPr="00317A8A">
        <w:rPr>
          <w:rFonts w:cstheme="minorHAnsi"/>
          <w:i/>
          <w:iCs/>
        </w:rPr>
        <w:t>application informatique « Télérecours citoyens » accessible par le site Internet www.telerecours.fr</w:t>
      </w:r>
    </w:p>
    <w:sectPr w:rsidR="008C11BC" w:rsidRPr="00317A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BFB2" w14:textId="77777777" w:rsidR="004726DE" w:rsidRDefault="004726DE" w:rsidP="008C3A54">
      <w:pPr>
        <w:spacing w:after="0" w:line="240" w:lineRule="auto"/>
      </w:pPr>
      <w:r>
        <w:separator/>
      </w:r>
    </w:p>
  </w:endnote>
  <w:endnote w:type="continuationSeparator" w:id="0">
    <w:p w14:paraId="58B42099" w14:textId="77777777" w:rsidR="004726DE" w:rsidRDefault="004726DE" w:rsidP="008C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C7481" w14:textId="77777777" w:rsidR="00273094" w:rsidRDefault="002730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73F5" w14:textId="77777777" w:rsidR="00273094" w:rsidRDefault="0027309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E3E19" w14:textId="77777777" w:rsidR="00273094" w:rsidRDefault="002730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E294B" w14:textId="77777777" w:rsidR="004726DE" w:rsidRDefault="004726DE" w:rsidP="008C3A54">
      <w:pPr>
        <w:spacing w:after="0" w:line="240" w:lineRule="auto"/>
      </w:pPr>
      <w:r>
        <w:separator/>
      </w:r>
    </w:p>
  </w:footnote>
  <w:footnote w:type="continuationSeparator" w:id="0">
    <w:p w14:paraId="3BA4B92F" w14:textId="77777777" w:rsidR="004726DE" w:rsidRDefault="004726DE" w:rsidP="008C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C5DC" w14:textId="77777777" w:rsidR="00273094" w:rsidRDefault="002730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526265"/>
      <w:docPartObj>
        <w:docPartGallery w:val="Watermarks"/>
        <w:docPartUnique/>
      </w:docPartObj>
    </w:sdtPr>
    <w:sdtContent>
      <w:p w14:paraId="1ED303ED" w14:textId="3A8137BE" w:rsidR="00273094" w:rsidRDefault="00273094">
        <w:pPr>
          <w:pStyle w:val="En-tte"/>
        </w:pPr>
        <w:r>
          <w:pict w14:anchorId="0565D4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7756142" o:spid="_x0000_s1025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36CC4" w14:textId="77777777" w:rsidR="00273094" w:rsidRDefault="002730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1CED"/>
    <w:multiLevelType w:val="hybridMultilevel"/>
    <w:tmpl w:val="DE04C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27CA"/>
    <w:multiLevelType w:val="hybridMultilevel"/>
    <w:tmpl w:val="673274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4D0DFF"/>
    <w:multiLevelType w:val="hybridMultilevel"/>
    <w:tmpl w:val="844A9CB8"/>
    <w:lvl w:ilvl="0" w:tplc="57F00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524E9"/>
    <w:multiLevelType w:val="hybridMultilevel"/>
    <w:tmpl w:val="8EA01D14"/>
    <w:lvl w:ilvl="0" w:tplc="57F00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0A4"/>
    <w:multiLevelType w:val="hybridMultilevel"/>
    <w:tmpl w:val="BD90F7CA"/>
    <w:lvl w:ilvl="0" w:tplc="254C44B2">
      <w:start w:val="3"/>
      <w:numFmt w:val="bullet"/>
      <w:lvlText w:val="-"/>
      <w:lvlJc w:val="left"/>
      <w:pPr>
        <w:ind w:left="1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45C13CC9"/>
    <w:multiLevelType w:val="hybridMultilevel"/>
    <w:tmpl w:val="50FE8D4A"/>
    <w:lvl w:ilvl="0" w:tplc="0262A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202C"/>
    <w:multiLevelType w:val="hybridMultilevel"/>
    <w:tmpl w:val="0F7444F0"/>
    <w:lvl w:ilvl="0" w:tplc="70248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9E9"/>
    <w:multiLevelType w:val="hybridMultilevel"/>
    <w:tmpl w:val="01C2D784"/>
    <w:lvl w:ilvl="0" w:tplc="6980C102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14F6"/>
    <w:multiLevelType w:val="hybridMultilevel"/>
    <w:tmpl w:val="D8689E20"/>
    <w:lvl w:ilvl="0" w:tplc="6CA45882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B2B3D"/>
    <w:multiLevelType w:val="hybridMultilevel"/>
    <w:tmpl w:val="7464803A"/>
    <w:lvl w:ilvl="0" w:tplc="DC30D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B2C"/>
    <w:multiLevelType w:val="hybridMultilevel"/>
    <w:tmpl w:val="E5FC8050"/>
    <w:lvl w:ilvl="0" w:tplc="2C925CA0">
      <w:start w:val="3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16D30"/>
    <w:multiLevelType w:val="hybridMultilevel"/>
    <w:tmpl w:val="3FC60422"/>
    <w:lvl w:ilvl="0" w:tplc="BB0678D6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13858">
    <w:abstractNumId w:val="2"/>
  </w:num>
  <w:num w:numId="2" w16cid:durableId="1844052297">
    <w:abstractNumId w:val="0"/>
  </w:num>
  <w:num w:numId="3" w16cid:durableId="1677734532">
    <w:abstractNumId w:val="5"/>
  </w:num>
  <w:num w:numId="4" w16cid:durableId="714548186">
    <w:abstractNumId w:val="6"/>
  </w:num>
  <w:num w:numId="5" w16cid:durableId="1851673944">
    <w:abstractNumId w:val="8"/>
  </w:num>
  <w:num w:numId="6" w16cid:durableId="777484279">
    <w:abstractNumId w:val="10"/>
  </w:num>
  <w:num w:numId="7" w16cid:durableId="1102530567">
    <w:abstractNumId w:val="4"/>
  </w:num>
  <w:num w:numId="8" w16cid:durableId="1044599809">
    <w:abstractNumId w:val="7"/>
  </w:num>
  <w:num w:numId="9" w16cid:durableId="2053575981">
    <w:abstractNumId w:val="11"/>
  </w:num>
  <w:num w:numId="10" w16cid:durableId="1427844686">
    <w:abstractNumId w:val="3"/>
  </w:num>
  <w:num w:numId="11" w16cid:durableId="1685546610">
    <w:abstractNumId w:val="1"/>
  </w:num>
  <w:num w:numId="12" w16cid:durableId="120920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1B"/>
    <w:rsid w:val="0000658A"/>
    <w:rsid w:val="00010997"/>
    <w:rsid w:val="0002208D"/>
    <w:rsid w:val="00023EC1"/>
    <w:rsid w:val="00026150"/>
    <w:rsid w:val="00031905"/>
    <w:rsid w:val="00041582"/>
    <w:rsid w:val="00045EE4"/>
    <w:rsid w:val="00046E8F"/>
    <w:rsid w:val="000B49B6"/>
    <w:rsid w:val="000C2A74"/>
    <w:rsid w:val="000F2480"/>
    <w:rsid w:val="000F5657"/>
    <w:rsid w:val="00105281"/>
    <w:rsid w:val="00112CBF"/>
    <w:rsid w:val="001141C0"/>
    <w:rsid w:val="001509B3"/>
    <w:rsid w:val="001A2868"/>
    <w:rsid w:val="001A6AF4"/>
    <w:rsid w:val="001B09E2"/>
    <w:rsid w:val="001B39F4"/>
    <w:rsid w:val="001B4498"/>
    <w:rsid w:val="001F0F0A"/>
    <w:rsid w:val="001F5244"/>
    <w:rsid w:val="00200599"/>
    <w:rsid w:val="0021007F"/>
    <w:rsid w:val="002123CB"/>
    <w:rsid w:val="00213D6A"/>
    <w:rsid w:val="0021550C"/>
    <w:rsid w:val="00215649"/>
    <w:rsid w:val="00217464"/>
    <w:rsid w:val="0024323E"/>
    <w:rsid w:val="002525C8"/>
    <w:rsid w:val="00255E46"/>
    <w:rsid w:val="00265583"/>
    <w:rsid w:val="0027210A"/>
    <w:rsid w:val="00273094"/>
    <w:rsid w:val="002821BD"/>
    <w:rsid w:val="00295C13"/>
    <w:rsid w:val="002A0148"/>
    <w:rsid w:val="002B5B6C"/>
    <w:rsid w:val="002C4BEA"/>
    <w:rsid w:val="002F0BF8"/>
    <w:rsid w:val="002F1D63"/>
    <w:rsid w:val="002F51ED"/>
    <w:rsid w:val="003126CF"/>
    <w:rsid w:val="00317A74"/>
    <w:rsid w:val="00317A8A"/>
    <w:rsid w:val="0033438A"/>
    <w:rsid w:val="003848FF"/>
    <w:rsid w:val="003A2DA4"/>
    <w:rsid w:val="003B0235"/>
    <w:rsid w:val="003C04A7"/>
    <w:rsid w:val="003D31CF"/>
    <w:rsid w:val="003D488D"/>
    <w:rsid w:val="003D59B0"/>
    <w:rsid w:val="003E1C84"/>
    <w:rsid w:val="003F3615"/>
    <w:rsid w:val="00401532"/>
    <w:rsid w:val="00440712"/>
    <w:rsid w:val="00441D05"/>
    <w:rsid w:val="00453BF7"/>
    <w:rsid w:val="00464C30"/>
    <w:rsid w:val="00470368"/>
    <w:rsid w:val="00471ED5"/>
    <w:rsid w:val="004726DE"/>
    <w:rsid w:val="004765C4"/>
    <w:rsid w:val="004A1359"/>
    <w:rsid w:val="004A2CBF"/>
    <w:rsid w:val="004A3B95"/>
    <w:rsid w:val="004B3129"/>
    <w:rsid w:val="004B4B1B"/>
    <w:rsid w:val="004B6A3B"/>
    <w:rsid w:val="004C5B9B"/>
    <w:rsid w:val="004D0994"/>
    <w:rsid w:val="004D163E"/>
    <w:rsid w:val="004E23E5"/>
    <w:rsid w:val="00506F30"/>
    <w:rsid w:val="0052343D"/>
    <w:rsid w:val="00525340"/>
    <w:rsid w:val="00536757"/>
    <w:rsid w:val="00544CE2"/>
    <w:rsid w:val="0055044F"/>
    <w:rsid w:val="00551C56"/>
    <w:rsid w:val="00556602"/>
    <w:rsid w:val="00563A31"/>
    <w:rsid w:val="00575066"/>
    <w:rsid w:val="00582B5B"/>
    <w:rsid w:val="005A415F"/>
    <w:rsid w:val="005B0E15"/>
    <w:rsid w:val="005C4F0C"/>
    <w:rsid w:val="005D67D4"/>
    <w:rsid w:val="005E5336"/>
    <w:rsid w:val="005F1DD2"/>
    <w:rsid w:val="006136E2"/>
    <w:rsid w:val="0061389D"/>
    <w:rsid w:val="00617A3A"/>
    <w:rsid w:val="00617A8A"/>
    <w:rsid w:val="006237D0"/>
    <w:rsid w:val="00624A32"/>
    <w:rsid w:val="00637982"/>
    <w:rsid w:val="006422FA"/>
    <w:rsid w:val="0064279C"/>
    <w:rsid w:val="00647826"/>
    <w:rsid w:val="00654D6E"/>
    <w:rsid w:val="00685A0B"/>
    <w:rsid w:val="00695440"/>
    <w:rsid w:val="006974AC"/>
    <w:rsid w:val="006E2A67"/>
    <w:rsid w:val="006E6693"/>
    <w:rsid w:val="006F291D"/>
    <w:rsid w:val="00705561"/>
    <w:rsid w:val="00707EAD"/>
    <w:rsid w:val="00710676"/>
    <w:rsid w:val="007114FE"/>
    <w:rsid w:val="007117A9"/>
    <w:rsid w:val="007141A9"/>
    <w:rsid w:val="00715A57"/>
    <w:rsid w:val="00715C91"/>
    <w:rsid w:val="0072799F"/>
    <w:rsid w:val="00757F44"/>
    <w:rsid w:val="00765ECC"/>
    <w:rsid w:val="00767F91"/>
    <w:rsid w:val="007709C7"/>
    <w:rsid w:val="00771B18"/>
    <w:rsid w:val="0079042A"/>
    <w:rsid w:val="007914AB"/>
    <w:rsid w:val="0079154D"/>
    <w:rsid w:val="007A14AE"/>
    <w:rsid w:val="007B1F9E"/>
    <w:rsid w:val="007F581D"/>
    <w:rsid w:val="007F73B0"/>
    <w:rsid w:val="00821AF9"/>
    <w:rsid w:val="008255DA"/>
    <w:rsid w:val="00830008"/>
    <w:rsid w:val="00830939"/>
    <w:rsid w:val="0083432F"/>
    <w:rsid w:val="00846BE8"/>
    <w:rsid w:val="008610E3"/>
    <w:rsid w:val="00864C41"/>
    <w:rsid w:val="00866D0C"/>
    <w:rsid w:val="00866E70"/>
    <w:rsid w:val="008734BC"/>
    <w:rsid w:val="00876689"/>
    <w:rsid w:val="00877FA0"/>
    <w:rsid w:val="00882B92"/>
    <w:rsid w:val="008837E7"/>
    <w:rsid w:val="008B408E"/>
    <w:rsid w:val="008C07BD"/>
    <w:rsid w:val="008C11BC"/>
    <w:rsid w:val="008C3A54"/>
    <w:rsid w:val="008D67DC"/>
    <w:rsid w:val="008E2170"/>
    <w:rsid w:val="008E514D"/>
    <w:rsid w:val="008E683C"/>
    <w:rsid w:val="00922C4E"/>
    <w:rsid w:val="00940A4C"/>
    <w:rsid w:val="0095008D"/>
    <w:rsid w:val="0095562F"/>
    <w:rsid w:val="00955C3F"/>
    <w:rsid w:val="0096054D"/>
    <w:rsid w:val="00960894"/>
    <w:rsid w:val="00964F35"/>
    <w:rsid w:val="0096541C"/>
    <w:rsid w:val="00972DE2"/>
    <w:rsid w:val="009815F8"/>
    <w:rsid w:val="00982B0F"/>
    <w:rsid w:val="00991E52"/>
    <w:rsid w:val="00996FBC"/>
    <w:rsid w:val="009A4667"/>
    <w:rsid w:val="009A4A00"/>
    <w:rsid w:val="009B0EC8"/>
    <w:rsid w:val="009D5043"/>
    <w:rsid w:val="009D63FF"/>
    <w:rsid w:val="009E4C20"/>
    <w:rsid w:val="009F290F"/>
    <w:rsid w:val="009F40E0"/>
    <w:rsid w:val="00A04861"/>
    <w:rsid w:val="00A04F57"/>
    <w:rsid w:val="00A0646A"/>
    <w:rsid w:val="00A30FA9"/>
    <w:rsid w:val="00A34926"/>
    <w:rsid w:val="00A410F6"/>
    <w:rsid w:val="00A55F98"/>
    <w:rsid w:val="00A658E9"/>
    <w:rsid w:val="00A6725F"/>
    <w:rsid w:val="00A710F6"/>
    <w:rsid w:val="00A743D6"/>
    <w:rsid w:val="00A80FF3"/>
    <w:rsid w:val="00AB163F"/>
    <w:rsid w:val="00AB362F"/>
    <w:rsid w:val="00AB7793"/>
    <w:rsid w:val="00AD4254"/>
    <w:rsid w:val="00AF1275"/>
    <w:rsid w:val="00B06B85"/>
    <w:rsid w:val="00B3116A"/>
    <w:rsid w:val="00B6300F"/>
    <w:rsid w:val="00B6579B"/>
    <w:rsid w:val="00B670A2"/>
    <w:rsid w:val="00B80AC5"/>
    <w:rsid w:val="00B83B55"/>
    <w:rsid w:val="00B95DB1"/>
    <w:rsid w:val="00BC7246"/>
    <w:rsid w:val="00BD20EF"/>
    <w:rsid w:val="00BE0648"/>
    <w:rsid w:val="00BE0EEF"/>
    <w:rsid w:val="00BE4D9E"/>
    <w:rsid w:val="00BE5054"/>
    <w:rsid w:val="00C035A2"/>
    <w:rsid w:val="00C1381B"/>
    <w:rsid w:val="00C14A09"/>
    <w:rsid w:val="00C270A8"/>
    <w:rsid w:val="00C32DF6"/>
    <w:rsid w:val="00C35949"/>
    <w:rsid w:val="00C41377"/>
    <w:rsid w:val="00C41C81"/>
    <w:rsid w:val="00C509D8"/>
    <w:rsid w:val="00C66F02"/>
    <w:rsid w:val="00C67E09"/>
    <w:rsid w:val="00C70BDB"/>
    <w:rsid w:val="00C779BE"/>
    <w:rsid w:val="00C90AB4"/>
    <w:rsid w:val="00CA415A"/>
    <w:rsid w:val="00CB0FEB"/>
    <w:rsid w:val="00CC1C84"/>
    <w:rsid w:val="00CC5017"/>
    <w:rsid w:val="00CF1AEF"/>
    <w:rsid w:val="00CF4A20"/>
    <w:rsid w:val="00CF55E8"/>
    <w:rsid w:val="00D012B1"/>
    <w:rsid w:val="00D01474"/>
    <w:rsid w:val="00D03DC1"/>
    <w:rsid w:val="00D06F31"/>
    <w:rsid w:val="00D11DC6"/>
    <w:rsid w:val="00D14D1E"/>
    <w:rsid w:val="00D2109A"/>
    <w:rsid w:val="00D2322B"/>
    <w:rsid w:val="00D27CB5"/>
    <w:rsid w:val="00D354A8"/>
    <w:rsid w:val="00D51AEE"/>
    <w:rsid w:val="00D5590D"/>
    <w:rsid w:val="00D63C8E"/>
    <w:rsid w:val="00D7293F"/>
    <w:rsid w:val="00D76900"/>
    <w:rsid w:val="00D8001D"/>
    <w:rsid w:val="00D83102"/>
    <w:rsid w:val="00D95F64"/>
    <w:rsid w:val="00DA2DC9"/>
    <w:rsid w:val="00DA476E"/>
    <w:rsid w:val="00DB37C8"/>
    <w:rsid w:val="00DD0120"/>
    <w:rsid w:val="00DD3F55"/>
    <w:rsid w:val="00DD6A3B"/>
    <w:rsid w:val="00DE449F"/>
    <w:rsid w:val="00DF1935"/>
    <w:rsid w:val="00E33335"/>
    <w:rsid w:val="00E4235D"/>
    <w:rsid w:val="00E613D7"/>
    <w:rsid w:val="00E64ABA"/>
    <w:rsid w:val="00E64C39"/>
    <w:rsid w:val="00E7529E"/>
    <w:rsid w:val="00E83FB7"/>
    <w:rsid w:val="00E85EA2"/>
    <w:rsid w:val="00E878CA"/>
    <w:rsid w:val="00F017C8"/>
    <w:rsid w:val="00F06CE4"/>
    <w:rsid w:val="00F238FB"/>
    <w:rsid w:val="00F54392"/>
    <w:rsid w:val="00F6480F"/>
    <w:rsid w:val="00F64D69"/>
    <w:rsid w:val="00FA66CE"/>
    <w:rsid w:val="00FB34AB"/>
    <w:rsid w:val="00FD01BF"/>
    <w:rsid w:val="00FE467B"/>
    <w:rsid w:val="00FF4CA6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1489"/>
  <w15:chartTrackingRefBased/>
  <w15:docId w15:val="{BFFF3D05-4E6F-4487-9097-31EF5BD6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F19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19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19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19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193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B02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A54"/>
  </w:style>
  <w:style w:type="paragraph" w:styleId="Pieddepage">
    <w:name w:val="footer"/>
    <w:basedOn w:val="Normal"/>
    <w:link w:val="PieddepageCar"/>
    <w:uiPriority w:val="99"/>
    <w:unhideWhenUsed/>
    <w:rsid w:val="008C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A54"/>
  </w:style>
  <w:style w:type="paragraph" w:styleId="Rvision">
    <w:name w:val="Revision"/>
    <w:hidden/>
    <w:uiPriority w:val="99"/>
    <w:semiHidden/>
    <w:rsid w:val="00C27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4c439-95e6-4518-8086-10b1c800bce0" xsi:nil="true"/>
    <lcf76f155ced4ddcb4097134ff3c332f xmlns="5db6d77f-cabb-4685-9788-8f3f3f4a0b32">
      <Terms xmlns="http://schemas.microsoft.com/office/infopath/2007/PartnerControls"/>
    </lcf76f155ced4ddcb4097134ff3c332f>
    <PERSONNE xmlns="5db6d77f-cabb-4685-9788-8f3f3f4a0b32">
      <UserInfo>
        <DisplayName/>
        <AccountId xsi:nil="true"/>
        <AccountType/>
      </UserInfo>
    </PERSONNE>
    <Num_x00e9_ro xmlns="5db6d77f-cabb-4685-9788-8f3f3f4a0b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EB48BDCEFC0448C6592B377942DC7" ma:contentTypeVersion="18" ma:contentTypeDescription="Crée un document." ma:contentTypeScope="" ma:versionID="d5ef83533146e91690fba3d8722882e9">
  <xsd:schema xmlns:xsd="http://www.w3.org/2001/XMLSchema" xmlns:xs="http://www.w3.org/2001/XMLSchema" xmlns:p="http://schemas.microsoft.com/office/2006/metadata/properties" xmlns:ns2="5db6d77f-cabb-4685-9788-8f3f3f4a0b32" xmlns:ns3="b8c4c439-95e6-4518-8086-10b1c800bce0" targetNamespace="http://schemas.microsoft.com/office/2006/metadata/properties" ma:root="true" ma:fieldsID="78679bc516327709f8d6fbcff9b07917" ns2:_="" ns3:_="">
    <xsd:import namespace="5db6d77f-cabb-4685-9788-8f3f3f4a0b32"/>
    <xsd:import namespace="b8c4c439-95e6-4518-8086-10b1c800b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um_x00e9_ro" minOccurs="0"/>
                <xsd:element ref="ns2:PERSON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6d77f-cabb-4685-9788-8f3f3f4a0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9d55c25-c7ed-4bcb-b438-61bcad763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_x00e9_ro" ma:index="23" nillable="true" ma:displayName="Numéro" ma:format="Dropdown" ma:internalName="Num_x00e9_ro" ma:percentage="FALSE">
      <xsd:simpleType>
        <xsd:restriction base="dms:Number"/>
      </xsd:simpleType>
    </xsd:element>
    <xsd:element name="PERSONNE" ma:index="24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4c439-95e6-4518-8086-10b1c800bce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e9b578-4fca-4ff7-aa0d-472e2ffd6906}" ma:internalName="TaxCatchAll" ma:showField="CatchAllData" ma:web="b8c4c439-95e6-4518-8086-10b1c800b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F4328-6A51-4099-9800-87661B13BFE0}">
  <ds:schemaRefs>
    <ds:schemaRef ds:uri="http://schemas.microsoft.com/office/2006/metadata/properties"/>
    <ds:schemaRef ds:uri="http://schemas.microsoft.com/office/infopath/2007/PartnerControls"/>
    <ds:schemaRef ds:uri="b8c4c439-95e6-4518-8086-10b1c800bce0"/>
    <ds:schemaRef ds:uri="5db6d77f-cabb-4685-9788-8f3f3f4a0b32"/>
  </ds:schemaRefs>
</ds:datastoreItem>
</file>

<file path=customXml/itemProps2.xml><?xml version="1.0" encoding="utf-8"?>
<ds:datastoreItem xmlns:ds="http://schemas.openxmlformats.org/officeDocument/2006/customXml" ds:itemID="{D691208B-1457-44D7-9C24-1204F39022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E9E96-BE51-4504-BAB2-4B91B1E77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2E1FF-8088-420C-BC61-92BC8609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6d77f-cabb-4685-9788-8f3f3f4a0b32"/>
    <ds:schemaRef ds:uri="b8c4c439-95e6-4518-8086-10b1c800b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STAGEL-AAP7</dc:creator>
  <cp:keywords/>
  <dc:description/>
  <cp:lastModifiedBy>Félicité Bidault (ADALTYS)</cp:lastModifiedBy>
  <cp:revision>120</cp:revision>
  <cp:lastPrinted>2022-05-31T12:19:00Z</cp:lastPrinted>
  <dcterms:created xsi:type="dcterms:W3CDTF">2024-10-22T15:16:00Z</dcterms:created>
  <dcterms:modified xsi:type="dcterms:W3CDTF">2024-11-05T14:09:00Z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0x010100A1FEB48BDCEFC0448C6592B377942DC7</vt:lpwstr>
  </property>
  <property fmtid="{D5CDD505-2E9C-101B-9397-08002B2CF9AE}" pid="3" name="MediaServiceImageTags">
    <vt:lpwstr/>
  </property>
</Properties>
</file>